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0" w:after="0"/>
        <w:rPr>
          <w:sz w:val="10"/>
        </w:rPr>
      </w:pPr>
      <w:r>
        <w:rPr>
          <w:sz w:val="10"/>
        </w:rPr>
      </w:r>
    </w:p>
    <w:p>
      <w:pPr>
        <w:pStyle w:val="Nzev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830580</wp:posOffset>
            </wp:positionH>
            <wp:positionV relativeFrom="paragraph">
              <wp:posOffset>-81280</wp:posOffset>
            </wp:positionV>
            <wp:extent cx="1238885" cy="923290"/>
            <wp:effectExtent l="0" t="0" r="0" b="0"/>
            <wp:wrapNone/>
            <wp:docPr id="1" name="image1.png" descr="P1C1T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1C1T1#yIS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EU</w:t>
      </w:r>
      <w:r>
        <w:rPr>
          <w:spacing w:val="-1"/>
        </w:rPr>
        <w:t xml:space="preserve"> </w:t>
      </w:r>
      <w:r>
        <w:rPr/>
        <w:t>Prohlášení</w:t>
      </w:r>
      <w:r>
        <w:rPr>
          <w:spacing w:val="-2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shodě</w:t>
      </w:r>
    </w:p>
    <w:p>
      <w:pPr>
        <w:pStyle w:val="Normal"/>
        <w:spacing w:lineRule="auto" w:line="247" w:before="242" w:after="0"/>
        <w:ind w:left="2604" w:right="3990" w:hanging="0"/>
        <w:rPr>
          <w:b/>
          <w:b/>
          <w:i/>
          <w:i/>
          <w:sz w:val="18"/>
        </w:rPr>
      </w:pPr>
      <w:r>
        <w:rPr>
          <w:b/>
          <w:i/>
          <w:sz w:val="18"/>
        </w:rPr>
        <w:t>Podle zákona č. 90/2016 Sb. v platném znění</w:t>
      </w:r>
      <w:r>
        <w:rPr>
          <w:b/>
          <w:i/>
          <w:spacing w:val="-42"/>
          <w:sz w:val="18"/>
        </w:rPr>
        <w:t xml:space="preserve"> </w:t>
      </w:r>
    </w:p>
    <w:p>
      <w:pPr>
        <w:pStyle w:val="Normal"/>
        <w:spacing w:lineRule="auto" w:line="247" w:before="242" w:after="0"/>
        <w:ind w:left="2604" w:right="3990" w:hanging="0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rmal"/>
        <w:rPr>
          <w:b/>
          <w:b/>
          <w:i/>
          <w:i/>
          <w:sz w:val="7"/>
        </w:rPr>
      </w:pPr>
      <w:r>
        <w:rPr>
          <w:b/>
          <w:i/>
          <w:sz w:val="7"/>
        </w:rPr>
      </w:r>
    </w:p>
    <w:tbl>
      <w:tblPr>
        <w:tblStyle w:val="TableNormal"/>
        <w:tblW w:w="9539" w:type="dxa"/>
        <w:jc w:val="left"/>
        <w:tblInd w:w="22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578"/>
        <w:gridCol w:w="5960"/>
      </w:tblGrid>
      <w:tr>
        <w:trPr>
          <w:trHeight w:val="246" w:hRule="atLeast"/>
        </w:trPr>
        <w:tc>
          <w:tcPr>
            <w:tcW w:w="95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lineRule="exact" w:line="227" w:before="0" w:after="0"/>
              <w:ind w:left="4337" w:right="4317" w:hanging="0"/>
              <w:jc w:val="center"/>
              <w:rPr>
                <w:rFonts w:ascii="Arial" w:hAnsi="Arial"/>
                <w:b/>
                <w:b/>
                <w:i/>
                <w:i/>
                <w:sz w:val="21"/>
              </w:rPr>
            </w:pPr>
            <w:r>
              <w:rPr>
                <w:rFonts w:ascii="Arial" w:hAnsi="Arial"/>
                <w:b/>
                <w:i/>
                <w:kern w:val="0"/>
                <w:sz w:val="21"/>
                <w:szCs w:val="22"/>
                <w:lang w:eastAsia="en-US" w:bidi="ar-SA"/>
              </w:rPr>
              <w:t>Výrobce</w:t>
            </w:r>
          </w:p>
        </w:tc>
      </w:tr>
      <w:tr>
        <w:trPr>
          <w:trHeight w:val="294" w:hRule="atLeast"/>
        </w:trPr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E4E4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48" w:hanging="0"/>
              <w:jc w:val="right"/>
              <w:rPr>
                <w:rFonts w:ascii="Arial" w:hAnsi="Arial"/>
                <w:i/>
                <w:i/>
                <w:sz w:val="21"/>
              </w:rPr>
            </w:pPr>
            <w:r>
              <w:rPr>
                <w:rFonts w:ascii="Arial" w:hAnsi="Arial"/>
                <w:i/>
                <w:kern w:val="0"/>
                <w:sz w:val="21"/>
                <w:szCs w:val="22"/>
                <w:lang w:eastAsia="en-US" w:bidi="ar-SA"/>
              </w:rPr>
              <w:t>název: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MOREX, spol. s r.o.</w:t>
            </w:r>
          </w:p>
        </w:tc>
      </w:tr>
      <w:tr>
        <w:trPr>
          <w:trHeight w:val="277" w:hRule="atLeast"/>
        </w:trPr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E4E4" w:val="clear"/>
          </w:tcPr>
          <w:p>
            <w:pPr>
              <w:pStyle w:val="TableParagraph"/>
              <w:widowControl w:val="false"/>
              <w:suppressAutoHyphens w:val="true"/>
              <w:spacing w:lineRule="exact" w:line="239" w:before="0" w:after="0"/>
              <w:ind w:left="0" w:right="48" w:hanging="0"/>
              <w:jc w:val="right"/>
              <w:rPr>
                <w:rFonts w:ascii="Arial" w:hAnsi="Arial"/>
                <w:i/>
                <w:i/>
                <w:sz w:val="21"/>
              </w:rPr>
            </w:pPr>
            <w:r>
              <w:rPr>
                <w:rFonts w:ascii="Arial" w:hAnsi="Arial"/>
                <w:i/>
                <w:kern w:val="0"/>
                <w:sz w:val="21"/>
                <w:szCs w:val="22"/>
                <w:lang w:eastAsia="en-US" w:bidi="ar-SA"/>
              </w:rPr>
              <w:t>adresa: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0" w:after="0"/>
              <w:ind w:left="69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Nádražní 481,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Morkovice-Slížany 768 33</w:t>
            </w:r>
          </w:p>
        </w:tc>
      </w:tr>
      <w:tr>
        <w:trPr>
          <w:trHeight w:val="277" w:hRule="atLeast"/>
        </w:trPr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4E4E4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52" w:hanging="0"/>
              <w:jc w:val="right"/>
              <w:rPr>
                <w:rFonts w:ascii="Arial" w:hAnsi="Arial"/>
                <w:i/>
                <w:i/>
                <w:sz w:val="21"/>
              </w:rPr>
            </w:pPr>
            <w:r>
              <w:rPr>
                <w:rFonts w:ascii="Arial" w:hAnsi="Arial"/>
                <w:i/>
                <w:kern w:val="0"/>
                <w:sz w:val="21"/>
                <w:szCs w:val="22"/>
                <w:lang w:eastAsia="en-US" w:bidi="ar-SA"/>
              </w:rPr>
              <w:t>IČO: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8" w:before="0" w:after="0"/>
              <w:ind w:left="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48533157</w:t>
            </w:r>
          </w:p>
        </w:tc>
      </w:tr>
    </w:tbl>
    <w:p>
      <w:pPr>
        <w:pStyle w:val="Tlotextu"/>
        <w:spacing w:before="14" w:after="0"/>
        <w:rPr/>
      </w:pPr>
      <w:r>
        <w:rPr/>
        <w:t>Prohlašuji</w:t>
      </w:r>
      <w:r>
        <w:rPr>
          <w:spacing w:val="-5"/>
        </w:rPr>
        <w:t xml:space="preserve"> </w:t>
      </w:r>
      <w:r>
        <w:rPr/>
        <w:t>na</w:t>
      </w:r>
      <w:r>
        <w:rPr>
          <w:spacing w:val="-3"/>
        </w:rPr>
        <w:t xml:space="preserve"> </w:t>
      </w:r>
      <w:r>
        <w:rPr/>
        <w:t>svou</w:t>
      </w:r>
      <w:r>
        <w:rPr>
          <w:spacing w:val="-3"/>
        </w:rPr>
        <w:t xml:space="preserve"> </w:t>
      </w:r>
      <w:r>
        <w:rPr/>
        <w:t>výlučnou</w:t>
      </w:r>
      <w:r>
        <w:rPr>
          <w:spacing w:val="-4"/>
        </w:rPr>
        <w:t xml:space="preserve"> </w:t>
      </w:r>
      <w:r>
        <w:rPr/>
        <w:t>odpovědnost,</w:t>
      </w:r>
      <w:r>
        <w:rPr>
          <w:spacing w:val="-4"/>
        </w:rPr>
        <w:t xml:space="preserve"> </w:t>
      </w:r>
      <w:r>
        <w:rPr/>
        <w:t>že</w:t>
      </w:r>
      <w:r>
        <w:rPr>
          <w:spacing w:val="-4"/>
        </w:rPr>
        <w:t xml:space="preserve"> </w:t>
      </w:r>
      <w:r>
        <w:rPr/>
        <w:t>níže</w:t>
      </w:r>
      <w:r>
        <w:rPr>
          <w:spacing w:val="-3"/>
        </w:rPr>
        <w:t xml:space="preserve"> </w:t>
      </w:r>
      <w:r>
        <w:rPr/>
        <w:t>uvedené</w:t>
      </w:r>
      <w:r>
        <w:rPr>
          <w:spacing w:val="-5"/>
        </w:rPr>
        <w:t xml:space="preserve"> </w:t>
      </w:r>
      <w:r>
        <w:rPr/>
        <w:t>zařízení:</w:t>
      </w:r>
    </w:p>
    <w:tbl>
      <w:tblPr>
        <w:tblStyle w:val="TableNormal"/>
        <w:tblW w:w="9560" w:type="dxa"/>
        <w:jc w:val="left"/>
        <w:tblInd w:w="22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085"/>
        <w:gridCol w:w="7474"/>
      </w:tblGrid>
      <w:tr>
        <w:trPr>
          <w:trHeight w:val="265" w:hRule="atLeast"/>
        </w:trPr>
        <w:tc>
          <w:tcPr>
            <w:tcW w:w="9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90" w:right="2971" w:hanging="0"/>
              <w:jc w:val="center"/>
              <w:rPr>
                <w:rFonts w:ascii="Arial" w:hAnsi="Arial"/>
                <w:b/>
                <w:b/>
                <w:i/>
                <w:i/>
                <w:sz w:val="21"/>
              </w:rPr>
            </w:pPr>
            <w:r>
              <w:rPr>
                <w:rFonts w:ascii="Arial" w:hAnsi="Arial"/>
                <w:b/>
                <w:i/>
                <w:kern w:val="0"/>
                <w:sz w:val="21"/>
                <w:szCs w:val="22"/>
                <w:lang w:eastAsia="en-US" w:bidi="ar-SA"/>
              </w:rPr>
              <w:t>Elektrické</w:t>
            </w:r>
            <w:r>
              <w:rPr>
                <w:rFonts w:ascii="Arial" w:hAnsi="Arial"/>
                <w:b/>
                <w:i/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1"/>
                <w:szCs w:val="22"/>
                <w:lang w:eastAsia="en-US" w:bidi="ar-SA"/>
              </w:rPr>
              <w:t>zařízení</w:t>
            </w:r>
          </w:p>
        </w:tc>
      </w:tr>
      <w:tr>
        <w:trPr>
          <w:trHeight w:val="323" w:hRule="atLeast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40" w:after="0"/>
              <w:ind w:left="71" w:hanging="0"/>
              <w:jc w:val="left"/>
              <w:rPr>
                <w:rFonts w:ascii="Arial" w:hAnsi="Arial"/>
                <w:i/>
                <w:i/>
                <w:sz w:val="21"/>
              </w:rPr>
            </w:pPr>
            <w:r>
              <w:rPr>
                <w:rFonts w:ascii="Arial" w:hAnsi="Arial"/>
                <w:i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1"/>
                <w:szCs w:val="22"/>
                <w:lang w:eastAsia="en-US" w:bidi="ar-SA"/>
              </w:rPr>
              <w:t>název: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4" w:after="0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6"/>
                <w:szCs w:val="22"/>
                <w:lang w:eastAsia="en-US" w:bidi="ar-SA"/>
              </w:rPr>
              <w:t>Hodiny pr.34 cm - KOTVA</w:t>
            </w:r>
          </w:p>
        </w:tc>
      </w:tr>
      <w:tr>
        <w:trPr>
          <w:trHeight w:val="309" w:hRule="atLeast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33" w:after="0"/>
              <w:ind w:left="71" w:hanging="0"/>
              <w:jc w:val="left"/>
              <w:rPr>
                <w:rFonts w:ascii="Arial" w:hAnsi="Arial"/>
                <w:i/>
                <w:i/>
                <w:sz w:val="21"/>
              </w:rPr>
            </w:pPr>
            <w:r>
              <w:rPr>
                <w:rFonts w:ascii="Arial" w:hAnsi="Arial"/>
                <w:i/>
                <w:kern w:val="0"/>
                <w:sz w:val="21"/>
                <w:szCs w:val="22"/>
                <w:lang w:eastAsia="en-US" w:bidi="ar-SA"/>
              </w:rPr>
              <w:t>-</w:t>
            </w:r>
            <w:r>
              <w:rPr>
                <w:rFonts w:ascii="Arial" w:hAnsi="Arial"/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1"/>
                <w:szCs w:val="22"/>
                <w:lang w:eastAsia="en-US" w:bidi="ar-SA"/>
              </w:rPr>
              <w:t>typ: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27" w:after="0"/>
              <w:ind w:left="68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355215</w:t>
            </w:r>
          </w:p>
        </w:tc>
      </w:tr>
      <w:tr>
        <w:trPr>
          <w:trHeight w:val="433" w:hRule="atLeast"/>
        </w:trPr>
        <w:tc>
          <w:tcPr>
            <w:tcW w:w="9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993" w:right="2971" w:hanging="0"/>
              <w:jc w:val="center"/>
              <w:rPr>
                <w:rFonts w:ascii="Arial" w:hAnsi="Arial"/>
                <w:b/>
                <w:b/>
                <w:i/>
                <w:i/>
                <w:sz w:val="21"/>
              </w:rPr>
            </w:pPr>
            <w:r>
              <w:rPr>
                <w:rFonts w:ascii="Arial" w:hAnsi="Arial"/>
                <w:b/>
                <w:i/>
                <w:kern w:val="0"/>
                <w:sz w:val="21"/>
                <w:szCs w:val="22"/>
                <w:lang w:eastAsia="en-US" w:bidi="ar-SA"/>
              </w:rPr>
              <w:t>Popis</w:t>
            </w:r>
            <w:r>
              <w:rPr>
                <w:rFonts w:ascii="Arial" w:hAnsi="Arial"/>
                <w:b/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1"/>
                <w:szCs w:val="22"/>
                <w:lang w:eastAsia="en-US" w:bidi="ar-SA"/>
              </w:rPr>
              <w:t>a</w:t>
            </w:r>
            <w:r>
              <w:rPr>
                <w:rFonts w:ascii="Arial" w:hAnsi="Arial"/>
                <w:b/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1"/>
                <w:szCs w:val="22"/>
                <w:lang w:eastAsia="en-US" w:bidi="ar-SA"/>
              </w:rPr>
              <w:t>určení</w:t>
            </w:r>
            <w:r>
              <w:rPr>
                <w:rFonts w:ascii="Arial" w:hAnsi="Arial"/>
                <w:b/>
                <w:i/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1"/>
                <w:szCs w:val="22"/>
                <w:lang w:eastAsia="en-US" w:bidi="ar-SA"/>
              </w:rPr>
              <w:t>elektrického</w:t>
            </w:r>
            <w:r>
              <w:rPr>
                <w:rFonts w:ascii="Arial" w:hAnsi="Arial"/>
                <w:b/>
                <w:i/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21"/>
                <w:szCs w:val="22"/>
                <w:lang w:eastAsia="en-US" w:bidi="ar-SA"/>
              </w:rPr>
              <w:t>zařízení</w:t>
            </w:r>
          </w:p>
        </w:tc>
      </w:tr>
      <w:tr>
        <w:trPr>
          <w:trHeight w:val="253" w:hRule="atLeast"/>
        </w:trPr>
        <w:tc>
          <w:tcPr>
            <w:tcW w:w="9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4" w:before="0" w:after="0"/>
              <w:ind w:left="7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6"/>
                <w:szCs w:val="22"/>
                <w:lang w:eastAsia="en-US" w:bidi="ar-SA"/>
              </w:rPr>
              <w:t>Hodiny pr.34 cm - KOTVA</w:t>
            </w:r>
            <w:r>
              <w:rPr>
                <w:kern w:val="0"/>
                <w:sz w:val="22"/>
                <w:szCs w:val="22"/>
                <w:lang w:eastAsia="en-US" w:bidi="ar-SA"/>
              </w:rPr>
              <w:t>, 1x 1,5V AA-LR6</w:t>
            </w:r>
          </w:p>
        </w:tc>
      </w:tr>
    </w:tbl>
    <w:p>
      <w:pPr>
        <w:pStyle w:val="Tlotextu"/>
        <w:rPr/>
      </w:pPr>
      <w:r>
        <w:rPr/>
        <w:t>Je</w:t>
      </w:r>
      <w:r>
        <w:rPr>
          <w:spacing w:val="-4"/>
        </w:rPr>
        <w:t xml:space="preserve"> </w:t>
      </w:r>
      <w:r>
        <w:rPr/>
        <w:t>ve</w:t>
      </w:r>
      <w:r>
        <w:rPr>
          <w:spacing w:val="-4"/>
        </w:rPr>
        <w:t xml:space="preserve"> </w:t>
      </w:r>
      <w:r>
        <w:rPr/>
        <w:t>shodě</w:t>
      </w:r>
      <w:r>
        <w:rPr>
          <w:spacing w:val="-2"/>
        </w:rPr>
        <w:t xml:space="preserve"> </w:t>
      </w:r>
      <w:r>
        <w:rPr/>
        <w:t>s</w:t>
      </w:r>
      <w:r>
        <w:rPr>
          <w:spacing w:val="-4"/>
        </w:rPr>
        <w:t xml:space="preserve"> </w:t>
      </w:r>
      <w:r>
        <w:rPr/>
        <w:t>následující</w:t>
      </w:r>
      <w:r>
        <w:rPr>
          <w:spacing w:val="-1"/>
        </w:rPr>
        <w:t xml:space="preserve"> </w:t>
      </w:r>
      <w:r>
        <w:rPr/>
        <w:t>normami:</w:t>
      </w:r>
    </w:p>
    <w:tbl>
      <w:tblPr>
        <w:tblStyle w:val="TableNormal"/>
        <w:tblW w:w="9469" w:type="dxa"/>
        <w:jc w:val="left"/>
        <w:tblInd w:w="29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05"/>
        <w:gridCol w:w="4863"/>
      </w:tblGrid>
      <w:tr>
        <w:trPr>
          <w:trHeight w:val="242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tabs>
                <w:tab w:val="clear" w:pos="720"/>
                <w:tab w:val="center" w:pos="2302" w:leader="none"/>
                <w:tab w:val="left" w:pos="3505" w:leader="none"/>
              </w:tabs>
              <w:suppressAutoHyphens w:val="true"/>
              <w:spacing w:lineRule="exact" w:line="222" w:before="0" w:after="0"/>
              <w:ind w:left="1623" w:right="1615" w:hanging="0"/>
              <w:jc w:val="left"/>
              <w:rPr>
                <w:rFonts w:ascii="Arial" w:hAnsi="Arial"/>
                <w:b/>
                <w:b/>
                <w:i/>
                <w:i/>
                <w:sz w:val="21"/>
              </w:rPr>
            </w:pP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ab/>
              <w:t>České</w:t>
            </w:r>
            <w:r>
              <w:rPr>
                <w:rFonts w:ascii="Arial" w:hAnsi="Arial"/>
                <w:b/>
                <w:i/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normy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609" w:hanging="0"/>
              <w:jc w:val="left"/>
              <w:rPr>
                <w:rFonts w:ascii="Arial" w:hAnsi="Arial"/>
                <w:b/>
                <w:b/>
                <w:i/>
                <w:i/>
                <w:sz w:val="21"/>
              </w:rPr>
            </w:pP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Evropské</w:t>
            </w:r>
            <w:r>
              <w:rPr>
                <w:rFonts w:ascii="Arial" w:hAnsi="Arial"/>
                <w:b/>
                <w:i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normy</w:t>
            </w:r>
          </w:p>
        </w:tc>
      </w:tr>
      <w:tr>
        <w:trPr>
          <w:trHeight w:val="3623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1470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 EN IEC 55015:2019 vč. změn</w:t>
            </w:r>
            <w:r>
              <w:rPr>
                <w:spacing w:val="-50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ČSN EN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61547: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2009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 změn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 IEC 62321-8: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2017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změn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IEC 62321-3-1: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2013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změn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 IEC 62321-5: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2013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změn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7" w:right="331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 IEC 62321-4: 2013+AMD1: 2017 vč. změn</w:t>
            </w:r>
            <w:r>
              <w:rPr>
                <w:spacing w:val="-50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ČSN IEC</w:t>
            </w:r>
            <w:r>
              <w:rPr>
                <w:spacing w:val="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62321-7-2: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2017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 změn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7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IEC 62321-7-1: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2015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změn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" w:after="0"/>
              <w:ind w:left="106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 IEC 62321-6: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2015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změn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ISO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17075: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2017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změn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ISO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17075: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2017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změn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06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 IEC 62321-1: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2013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změn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6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IEC 62321-2: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2013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 změn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" w:after="0"/>
              <w:ind w:left="106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ČSN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AfPS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GS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2019:01 PAK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vč. změn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09" w:right="1463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EN IEC 55015:2019 incl. amendments</w:t>
            </w:r>
            <w:r>
              <w:rPr>
                <w:spacing w:val="-50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EN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61547: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2009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 amendments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IEC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62321-8: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2017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IEC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62321-3-1: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2013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IEC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62321-5: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2013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IEC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62321-4: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2013+AMD1:</w:t>
            </w: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2017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IEC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62321-7-2: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2017</w:t>
            </w: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IEC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62321-7-1: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2015</w:t>
            </w:r>
            <w:r>
              <w:rPr>
                <w:spacing w:val="-5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IEC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62321-6: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2015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ISO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17075: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2017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ISO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17075: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2017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1" w:after="0"/>
              <w:ind w:left="109" w:right="1215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IEC</w:t>
            </w:r>
            <w:r>
              <w:rPr>
                <w:spacing w:val="9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62321-1:</w:t>
            </w:r>
            <w:r>
              <w:rPr>
                <w:spacing w:val="8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2013</w:t>
            </w:r>
            <w:r>
              <w:rPr>
                <w:spacing w:val="9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9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  <w:r>
              <w:rPr>
                <w:spacing w:val="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IEC 62321-2: 2013incl. amendments</w:t>
            </w:r>
            <w:r>
              <w:rPr>
                <w:spacing w:val="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AfPS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GS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2019:01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PAK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incl.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</w:p>
        </w:tc>
      </w:tr>
    </w:tbl>
    <w:p>
      <w:pPr>
        <w:pStyle w:val="Tlotextu"/>
        <w:rPr/>
      </w:pPr>
      <w:r>
        <w:rPr/>
        <w:t>a</w:t>
      </w:r>
      <w:r>
        <w:rPr>
          <w:spacing w:val="-5"/>
        </w:rPr>
        <w:t xml:space="preserve"> </w:t>
      </w:r>
      <w:r>
        <w:rPr/>
        <w:t>následujícími</w:t>
      </w:r>
      <w:r>
        <w:rPr>
          <w:spacing w:val="-3"/>
        </w:rPr>
        <w:t xml:space="preserve"> </w:t>
      </w:r>
      <w:r>
        <w:rPr/>
        <w:t>nařízeními</w:t>
      </w:r>
      <w:r>
        <w:rPr>
          <w:spacing w:val="-4"/>
        </w:rPr>
        <w:t xml:space="preserve"> </w:t>
      </w:r>
      <w:r>
        <w:rPr/>
        <w:t>vlády,</w:t>
      </w:r>
      <w:r>
        <w:rPr>
          <w:spacing w:val="-5"/>
        </w:rPr>
        <w:t xml:space="preserve"> </w:t>
      </w:r>
      <w:r>
        <w:rPr/>
        <w:t>ve</w:t>
      </w:r>
      <w:r>
        <w:rPr>
          <w:spacing w:val="-3"/>
        </w:rPr>
        <w:t xml:space="preserve"> </w:t>
      </w:r>
      <w:r>
        <w:rPr/>
        <w:t>znění</w:t>
      </w:r>
      <w:r>
        <w:rPr>
          <w:spacing w:val="-4"/>
        </w:rPr>
        <w:t xml:space="preserve"> </w:t>
      </w:r>
      <w:r>
        <w:rPr/>
        <w:t>pozdějších</w:t>
      </w:r>
      <w:r>
        <w:rPr>
          <w:spacing w:val="-4"/>
        </w:rPr>
        <w:t xml:space="preserve"> </w:t>
      </w:r>
      <w:r>
        <w:rPr/>
        <w:t>předpisů</w:t>
      </w:r>
      <w:r>
        <w:rPr>
          <w:spacing w:val="-3"/>
        </w:rPr>
        <w:t xml:space="preserve"> </w:t>
      </w:r>
      <w:r>
        <w:rPr/>
        <w:t>(NV)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číslo</w:t>
      </w:r>
      <w:r>
        <w:rPr>
          <w:spacing w:val="-2"/>
        </w:rPr>
        <w:t xml:space="preserve"> </w:t>
      </w:r>
      <w:r>
        <w:rPr/>
        <w:t>EU</w:t>
      </w:r>
      <w:r>
        <w:rPr>
          <w:spacing w:val="-4"/>
        </w:rPr>
        <w:t xml:space="preserve"> </w:t>
      </w:r>
      <w:r>
        <w:rPr/>
        <w:t>směrnice:</w:t>
      </w:r>
    </w:p>
    <w:tbl>
      <w:tblPr>
        <w:tblStyle w:val="TableNormal"/>
        <w:tblW w:w="9469" w:type="dxa"/>
        <w:jc w:val="left"/>
        <w:tblInd w:w="29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05"/>
        <w:gridCol w:w="4863"/>
      </w:tblGrid>
      <w:tr>
        <w:trPr>
          <w:trHeight w:val="482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107" w:right="1470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NV 117/2016 Sb. v platném znění</w:t>
            </w:r>
            <w:r>
              <w:rPr>
                <w:spacing w:val="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NV 481/2012</w:t>
            </w:r>
            <w:r>
              <w:rPr>
                <w:spacing w:val="10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Sb. v</w:t>
            </w:r>
            <w:r>
              <w:rPr>
                <w:spacing w:val="-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platném</w:t>
            </w:r>
            <w:r>
              <w:rPr>
                <w:spacing w:val="-4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znění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2" w:before="0" w:after="0"/>
              <w:ind w:left="109" w:right="884" w:hanging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  <w:t>2014/30/EU – including amendments (EMC)</w:t>
            </w:r>
            <w:r>
              <w:rPr>
                <w:spacing w:val="1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2011/65/EU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including</w:t>
            </w:r>
            <w:r>
              <w:rPr>
                <w:spacing w:val="-2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amendments</w:t>
            </w:r>
            <w:r>
              <w:rPr>
                <w:spacing w:val="-3"/>
                <w:kern w:val="0"/>
                <w:sz w:val="21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1"/>
                <w:szCs w:val="22"/>
                <w:lang w:eastAsia="en-US" w:bidi="ar-SA"/>
              </w:rPr>
              <w:t>(RoHS)</w:t>
            </w:r>
          </w:p>
        </w:tc>
      </w:tr>
    </w:tbl>
    <w:p>
      <w:pPr>
        <w:pStyle w:val="Tlotextu"/>
        <w:spacing w:before="10" w:after="0"/>
        <w:ind w:left="0" w:hanging="0"/>
        <w:rPr>
          <w:sz w:val="19"/>
        </w:rPr>
      </w:pPr>
      <w:r>
        <w:rPr>
          <w:sz w:val="19"/>
        </w:rPr>
      </w:r>
    </w:p>
    <w:tbl>
      <w:tblPr>
        <w:tblStyle w:val="TableNormal"/>
        <w:tblW w:w="9560" w:type="dxa"/>
        <w:jc w:val="left"/>
        <w:tblInd w:w="22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560"/>
      </w:tblGrid>
      <w:tr>
        <w:trPr>
          <w:trHeight w:val="265" w:hRule="atLeast"/>
        </w:trPr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046" w:right="3024" w:hanging="0"/>
              <w:jc w:val="center"/>
              <w:rPr>
                <w:rFonts w:ascii="Arial" w:hAnsi="Arial"/>
                <w:b/>
                <w:b/>
                <w:i/>
                <w:i/>
                <w:sz w:val="21"/>
              </w:rPr>
            </w:pP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Testovací</w:t>
            </w:r>
            <w:r>
              <w:rPr>
                <w:rFonts w:ascii="Arial" w:hAnsi="Arial"/>
                <w:b/>
                <w:i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laboratoř</w:t>
            </w:r>
          </w:p>
        </w:tc>
      </w:tr>
      <w:tr>
        <w:trPr>
          <w:trHeight w:val="1103" w:hRule="atLeast"/>
        </w:trPr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right="6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Bureau Veritas </w:t>
            </w:r>
            <w:r>
              <w:rPr>
                <w:kern w:val="0"/>
                <w:sz w:val="24"/>
                <w:szCs w:val="22"/>
                <w:lang w:eastAsia="en-US" w:bidi="ar-SA"/>
              </w:rPr>
              <w:t>Schenzen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Co.,Ltd, </w:t>
            </w:r>
            <w:r>
              <w:rPr>
                <w:kern w:val="0"/>
                <w:sz w:val="24"/>
                <w:szCs w:val="22"/>
                <w:lang w:eastAsia="en-US" w:bidi="ar-SA"/>
              </w:rPr>
              <w:t>Dongguan Branch No.96, Houjie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, </w:t>
            </w:r>
            <w:r>
              <w:rPr>
                <w:kern w:val="0"/>
                <w:sz w:val="24"/>
                <w:szCs w:val="22"/>
                <w:lang w:eastAsia="en-US" w:bidi="ar-SA"/>
              </w:rPr>
              <w:t>Guantai Road., Houjie,  Dongguang, Gungdong</w:t>
            </w:r>
            <w:r>
              <w:rPr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China.</w:t>
            </w:r>
          </w:p>
          <w:p>
            <w:pPr>
              <w:pStyle w:val="Normal"/>
              <w:widowControl w:val="false"/>
              <w:suppressAutoHyphens w:val="true"/>
              <w:spacing w:lineRule="atLeast" w:line="270" w:before="0" w:after="0"/>
              <w:ind w:hanging="0"/>
              <w:jc w:val="left"/>
              <w:rPr>
                <w:sz w:val="24"/>
              </w:rPr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exact" w:line="240" w:before="0" w:after="0"/>
              <w:ind w:left="3044" w:right="3025" w:hanging="0"/>
              <w:jc w:val="center"/>
              <w:rPr>
                <w:rFonts w:ascii="Arial" w:hAnsi="Arial"/>
                <w:b/>
                <w:b/>
                <w:i/>
                <w:i/>
                <w:sz w:val="21"/>
              </w:rPr>
            </w:pP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Číslo</w:t>
            </w:r>
            <w:r>
              <w:rPr>
                <w:rFonts w:ascii="Arial" w:hAnsi="Arial"/>
                <w:b/>
                <w:i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test</w:t>
            </w:r>
            <w:r>
              <w:rPr>
                <w:rFonts w:ascii="Arial" w:hAnsi="Arial"/>
                <w:b/>
                <w:i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reportu</w:t>
            </w:r>
          </w:p>
        </w:tc>
      </w:tr>
      <w:tr>
        <w:trPr>
          <w:trHeight w:val="168" w:hRule="atLeast"/>
        </w:trPr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CIDFont+F2" w:hAnsi="CIDFont+F2"/>
                <w:sz w:val="24"/>
              </w:rPr>
            </w:pPr>
            <w:r>
              <w:rPr>
                <w:rFonts w:ascii="CIDFont+F2" w:hAnsi="CIDFont+F2"/>
                <w:kern w:val="0"/>
                <w:sz w:val="24"/>
                <w:szCs w:val="22"/>
                <w:lang w:eastAsia="en-US" w:bidi="ar-SA"/>
              </w:rPr>
              <w:t>(8821)207-0075, C</w:t>
            </w:r>
            <w:r>
              <w:rPr>
                <w:rFonts w:ascii="Arial" w:hAnsi="Arial"/>
                <w:kern w:val="0"/>
                <w:sz w:val="24"/>
                <w:szCs w:val="22"/>
                <w:lang w:eastAsia="en-US" w:bidi="ar-SA"/>
              </w:rPr>
              <w:t>E2107WDG0393</w:t>
            </w:r>
          </w:p>
        </w:tc>
      </w:tr>
      <w:tr>
        <w:trPr>
          <w:trHeight w:val="280" w:hRule="atLeast"/>
        </w:trPr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046" w:right="3025" w:hanging="0"/>
              <w:jc w:val="center"/>
              <w:rPr>
                <w:rFonts w:ascii="Arial" w:hAnsi="Arial"/>
                <w:b/>
                <w:b/>
                <w:i/>
                <w:i/>
                <w:sz w:val="21"/>
              </w:rPr>
            </w:pP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Zvolený</w:t>
            </w:r>
            <w:r>
              <w:rPr>
                <w:rFonts w:ascii="Arial" w:hAnsi="Arial"/>
                <w:b/>
                <w:i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postup</w:t>
            </w:r>
            <w:r>
              <w:rPr>
                <w:rFonts w:ascii="Arial" w:hAnsi="Arial"/>
                <w:b/>
                <w:i/>
                <w:spacing w:val="-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posuzování</w:t>
            </w:r>
            <w:r>
              <w:rPr>
                <w:rFonts w:ascii="Arial" w:hAnsi="Arial"/>
                <w:b/>
                <w:i/>
                <w:spacing w:val="-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8"/>
                <w:szCs w:val="18"/>
                <w:lang w:eastAsia="en-US" w:bidi="ar-SA"/>
              </w:rPr>
              <w:t>shody</w:t>
            </w:r>
          </w:p>
        </w:tc>
      </w:tr>
      <w:tr>
        <w:trPr>
          <w:trHeight w:val="486" w:hRule="atLeast"/>
        </w:trPr>
        <w:tc>
          <w:tcPr>
            <w:tcW w:w="9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71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kern w:val="0"/>
                <w:sz w:val="20"/>
                <w:szCs w:val="22"/>
                <w:lang w:eastAsia="en-US" w:bidi="ar-SA"/>
              </w:rPr>
              <w:t>Posouzení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shody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za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stanovených podmínek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dovozcem: §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4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§ 50</w:t>
            </w:r>
            <w:r>
              <w:rPr>
                <w:i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odst.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5 zákona</w:t>
            </w:r>
            <w:r>
              <w:rPr>
                <w:i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č.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90/2016</w:t>
            </w:r>
            <w:r>
              <w:rPr>
                <w:i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Sb.</w:t>
            </w:r>
          </w:p>
        </w:tc>
      </w:tr>
    </w:tbl>
    <w:p>
      <w:pPr>
        <w:pStyle w:val="Tlotextu"/>
        <w:rPr/>
      </w:pPr>
      <w:r>
        <w:rPr/>
        <w:t>Poslední</w:t>
      </w:r>
      <w:r>
        <w:rPr>
          <w:spacing w:val="-5"/>
        </w:rPr>
        <w:t xml:space="preserve"> </w:t>
      </w:r>
      <w:r>
        <w:rPr/>
        <w:t>dvojčíslí</w:t>
      </w:r>
      <w:r>
        <w:rPr>
          <w:spacing w:val="-2"/>
        </w:rPr>
        <w:t xml:space="preserve"> </w:t>
      </w:r>
      <w:r>
        <w:rPr/>
        <w:t>roku,</w:t>
      </w:r>
      <w:r>
        <w:rPr>
          <w:spacing w:val="-4"/>
        </w:rPr>
        <w:t xml:space="preserve"> </w:t>
      </w:r>
      <w:r>
        <w:rPr/>
        <w:t>v</w:t>
      </w:r>
      <w:r>
        <w:rPr>
          <w:spacing w:val="-3"/>
        </w:rPr>
        <w:t xml:space="preserve"> </w:t>
      </w:r>
      <w:r>
        <w:rPr/>
        <w:t>němž</w:t>
      </w:r>
      <w:r>
        <w:rPr>
          <w:spacing w:val="-3"/>
        </w:rPr>
        <w:t xml:space="preserve"> </w:t>
      </w:r>
      <w:r>
        <w:rPr/>
        <w:t>bylo</w:t>
      </w:r>
      <w:r>
        <w:rPr>
          <w:spacing w:val="-3"/>
        </w:rPr>
        <w:t xml:space="preserve"> </w:t>
      </w:r>
      <w:r>
        <w:rPr/>
        <w:t>označení</w:t>
      </w:r>
      <w:r>
        <w:rPr>
          <w:spacing w:val="-3"/>
        </w:rPr>
        <w:t xml:space="preserve"> </w:t>
      </w:r>
      <w:r>
        <w:rPr/>
        <w:t>CE</w:t>
      </w:r>
      <w:r>
        <w:rPr>
          <w:spacing w:val="-5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výrobek</w:t>
      </w:r>
      <w:r>
        <w:rPr>
          <w:spacing w:val="-4"/>
        </w:rPr>
        <w:t xml:space="preserve"> </w:t>
      </w:r>
      <w:r>
        <w:rPr/>
        <w:t>umístěno:21</w:t>
      </w:r>
    </w:p>
    <w:tbl>
      <w:tblPr>
        <w:tblStyle w:val="TableNormal"/>
        <w:tblW w:w="9642" w:type="dxa"/>
        <w:jc w:val="left"/>
        <w:tblInd w:w="12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10"/>
        <w:gridCol w:w="2551"/>
        <w:gridCol w:w="2270"/>
        <w:gridCol w:w="2410"/>
      </w:tblGrid>
      <w:tr>
        <w:trPr>
          <w:trHeight w:val="956" w:hRule="atLeast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69" w:right="783" w:firstLine="55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v Morkovicích</w:t>
            </w:r>
            <w:r>
              <w:rPr>
                <w:rFonts w:ascii="Arial" w:hAnsi="Arial"/>
                <w:i/>
                <w:spacing w:val="-54"/>
                <w:kern w:val="0"/>
                <w:sz w:val="20"/>
                <w:szCs w:val="22"/>
                <w:lang w:eastAsia="en-US" w:bidi="ar-SA"/>
              </w:rPr>
              <w:t xml:space="preserve"> 22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.11.2022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1" w:hanging="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Jméno: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71" w:hanging="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Jaroslav Heinz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70" w:right="1459" w:hanging="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kern w:val="0"/>
                <w:sz w:val="20"/>
                <w:szCs w:val="22"/>
                <w:lang w:eastAsia="en-US" w:bidi="ar-SA"/>
              </w:rPr>
              <w:t>Funkce:</w:t>
            </w:r>
            <w:r>
              <w:rPr>
                <w:rFonts w:ascii="Arial" w:hAnsi="Arial"/>
                <w:i/>
                <w:spacing w:val="-5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jednatel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9" w:hanging="0"/>
              <w:jc w:val="left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kern w:val="0"/>
                <w:sz w:val="20"/>
                <w:szCs w:val="22"/>
                <w:lang w:eastAsia="en-US" w:bidi="ar-SA"/>
              </w:rPr>
              <w:t>Podpis: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492" w:hanging="0"/>
              <w:jc w:val="left"/>
              <w:rPr>
                <w:rFonts w:ascii="Arial" w:hAnsi="Arial"/>
                <w:sz w:val="20"/>
              </w:rPr>
            </w:pPr>
            <w:r>
              <w:rPr/>
              <w:drawing>
                <wp:inline distT="0" distB="0" distL="0" distR="0">
                  <wp:extent cx="954405" cy="495935"/>
                  <wp:effectExtent l="0" t="0" r="0" b="0"/>
                  <wp:docPr id="2" name="Obrázek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020" w:right="980" w:gutter="0" w:header="0" w:top="1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IDFont+F2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>
      <w:ind w:left="395" w:hanging="0"/>
    </w:pPr>
    <w:rPr>
      <w:rFonts w:ascii="Arial" w:hAnsi="Arial" w:eastAsia="Arial" w:cs="Arial"/>
      <w:b/>
      <w:bCs/>
      <w:i/>
      <w:iCs/>
      <w:sz w:val="20"/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uiPriority w:val="10"/>
    <w:qFormat/>
    <w:pPr>
      <w:spacing w:before="81" w:after="0"/>
      <w:ind w:left="3105" w:hanging="0"/>
    </w:pPr>
    <w:rPr>
      <w:rFonts w:ascii="Arial" w:hAnsi="Arial" w:eastAsia="Arial" w:cs="Arial"/>
      <w:b/>
      <w:bCs/>
      <w:i/>
      <w:iCs/>
      <w:sz w:val="56"/>
      <w:szCs w:val="5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41"/>
      <w:ind w:left="109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LibreOffice/7.3.7.2$Windows_X86_64 LibreOffice_project/e114eadc50a9ff8d8c8a0567d6da8f454beeb84f</Application>
  <AppVersion>15.0000</AppVersion>
  <Pages>1</Pages>
  <Words>321</Words>
  <Characters>1740</Characters>
  <CharactersWithSpaces>2008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2022-11-14T11:02:00Z</dcterms:created>
  <dc:creator>solanska</dc:creator>
  <dc:description/>
  <dc:language>cs-CZ</dc:language>
  <cp:lastModifiedBy/>
  <dcterms:modified xsi:type="dcterms:W3CDTF">2022-11-29T06:42:08Z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2022-11-14T00:00:00Z</vt:filetime>
  </property>
</Properties>
</file>